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0CA9C0-483C-48BF-8B29-1C7305FDA3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